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FFD4" w14:textId="29E93517" w:rsidR="00E36DB8" w:rsidRDefault="00E36DB8" w:rsidP="00E36DB8">
      <w:pPr>
        <w:jc w:val="center"/>
        <w:rPr>
          <w:rFonts w:ascii="Garamond" w:hAnsi="Garamond" w:cs="Arial"/>
          <w:b/>
        </w:rPr>
      </w:pPr>
      <w:bookmarkStart w:id="0" w:name="_GoBack"/>
      <w:bookmarkEnd w:id="0"/>
      <w:r w:rsidRPr="00613099">
        <w:rPr>
          <w:rFonts w:ascii="Garamond" w:hAnsi="Garamond" w:cs="Arial"/>
          <w:b/>
        </w:rPr>
        <w:t xml:space="preserve">PBH </w:t>
      </w:r>
      <w:r w:rsidR="009332D4">
        <w:rPr>
          <w:rFonts w:ascii="Garamond" w:hAnsi="Garamond" w:cs="Arial"/>
          <w:b/>
        </w:rPr>
        <w:t>645: Teaching Methods and Strategies</w:t>
      </w:r>
    </w:p>
    <w:p w14:paraId="7C1FF3CB" w14:textId="5F98967E" w:rsidR="009332D4" w:rsidRPr="00613099" w:rsidRDefault="009332D4" w:rsidP="00E36DB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Discussion Board Rubric</w:t>
      </w:r>
    </w:p>
    <w:p w14:paraId="6E2ED4C2" w14:textId="77777777" w:rsidR="00E36DB8" w:rsidRDefault="00E36DB8" w:rsidP="00E36DB8">
      <w:pPr>
        <w:rPr>
          <w:rFonts w:ascii="Garamond" w:hAnsi="Garamond" w:cs="Arial"/>
          <w:b/>
          <w:sz w:val="21"/>
          <w:szCs w:val="21"/>
        </w:rPr>
      </w:pPr>
    </w:p>
    <w:p w14:paraId="315FEF24" w14:textId="5B20F119" w:rsidR="00E36DB8" w:rsidRPr="00BC03B3" w:rsidRDefault="00E36DB8" w:rsidP="00E36DB8">
      <w:pPr>
        <w:rPr>
          <w:rFonts w:ascii="Garamond" w:hAnsi="Garamond" w:cs="Arial"/>
          <w:b/>
          <w:sz w:val="21"/>
          <w:szCs w:val="21"/>
        </w:rPr>
      </w:pPr>
      <w:r w:rsidRPr="00BC03B3">
        <w:rPr>
          <w:rFonts w:ascii="Garamond" w:hAnsi="Garamond" w:cs="Arial"/>
          <w:b/>
          <w:sz w:val="21"/>
          <w:szCs w:val="21"/>
        </w:rPr>
        <w:t>Standards Based Grading Score Criteria - Rank yourself from 1-4 based on these criteria:</w:t>
      </w:r>
    </w:p>
    <w:p w14:paraId="48660627" w14:textId="77777777" w:rsidR="00E36DB8" w:rsidRPr="00BC03B3" w:rsidRDefault="00E36DB8" w:rsidP="00E36DB8">
      <w:pPr>
        <w:rPr>
          <w:rFonts w:ascii="Garamond" w:hAnsi="Garamond" w:cs="Arial"/>
          <w:sz w:val="21"/>
          <w:szCs w:val="21"/>
        </w:rPr>
      </w:pPr>
    </w:p>
    <w:p w14:paraId="0D06EA5A" w14:textId="77777777" w:rsidR="00E36DB8" w:rsidRPr="00BC03B3" w:rsidRDefault="00E36DB8" w:rsidP="00E36DB8">
      <w:pPr>
        <w:ind w:left="1440"/>
        <w:rPr>
          <w:rFonts w:ascii="Garamond" w:hAnsi="Garamond" w:cs="Arial"/>
          <w:sz w:val="21"/>
          <w:szCs w:val="21"/>
        </w:rPr>
      </w:pPr>
      <w:r w:rsidRPr="00BC03B3">
        <w:rPr>
          <w:rFonts w:ascii="Garamond" w:hAnsi="Garamond" w:cs="Arial"/>
          <w:i/>
          <w:sz w:val="21"/>
          <w:szCs w:val="21"/>
        </w:rPr>
        <w:t>4-Exceeded assessment</w:t>
      </w:r>
      <w:r w:rsidRPr="00BC03B3">
        <w:rPr>
          <w:rFonts w:ascii="Garamond" w:hAnsi="Garamond" w:cs="Arial"/>
          <w:sz w:val="21"/>
          <w:szCs w:val="21"/>
        </w:rPr>
        <w:t xml:space="preserve"> </w:t>
      </w:r>
      <w:r w:rsidRPr="00BC03B3">
        <w:rPr>
          <w:rFonts w:ascii="Garamond" w:hAnsi="Garamond" w:cs="Arial"/>
          <w:i/>
          <w:sz w:val="21"/>
          <w:szCs w:val="21"/>
        </w:rPr>
        <w:t>expectations</w:t>
      </w:r>
      <w:r w:rsidRPr="00BC03B3">
        <w:rPr>
          <w:rFonts w:ascii="Garamond" w:hAnsi="Garamond" w:cs="Arial"/>
          <w:sz w:val="21"/>
          <w:szCs w:val="21"/>
        </w:rPr>
        <w:t xml:space="preserve"> - goes above and beyond the expectations (i.e.: student completed three modules vs two SHI in SII/AI)</w:t>
      </w:r>
    </w:p>
    <w:p w14:paraId="5D592C8D" w14:textId="77777777" w:rsidR="00E36DB8" w:rsidRPr="00BC03B3" w:rsidRDefault="00E36DB8" w:rsidP="00E36DB8">
      <w:pPr>
        <w:ind w:left="1440"/>
        <w:rPr>
          <w:rFonts w:ascii="Garamond" w:hAnsi="Garamond" w:cs="Arial"/>
          <w:sz w:val="21"/>
          <w:szCs w:val="21"/>
        </w:rPr>
      </w:pPr>
      <w:r w:rsidRPr="00BC03B3">
        <w:rPr>
          <w:rFonts w:ascii="Garamond" w:hAnsi="Garamond" w:cs="Arial"/>
          <w:i/>
          <w:sz w:val="21"/>
          <w:szCs w:val="21"/>
        </w:rPr>
        <w:t>3-Meets assessment expectations</w:t>
      </w:r>
      <w:r w:rsidRPr="00BC03B3">
        <w:rPr>
          <w:rFonts w:ascii="Garamond" w:hAnsi="Garamond" w:cs="Arial"/>
          <w:sz w:val="21"/>
          <w:szCs w:val="21"/>
        </w:rPr>
        <w:t xml:space="preserve"> as outlined in the instructions and rubric</w:t>
      </w:r>
    </w:p>
    <w:p w14:paraId="410EFD5B" w14:textId="77777777" w:rsidR="00E36DB8" w:rsidRPr="00BC03B3" w:rsidRDefault="00E36DB8" w:rsidP="00E36DB8">
      <w:pPr>
        <w:ind w:left="1440"/>
        <w:rPr>
          <w:rFonts w:ascii="Garamond" w:hAnsi="Garamond" w:cs="Arial"/>
          <w:sz w:val="21"/>
          <w:szCs w:val="21"/>
        </w:rPr>
      </w:pPr>
      <w:r w:rsidRPr="00BC03B3">
        <w:rPr>
          <w:rFonts w:ascii="Garamond" w:hAnsi="Garamond" w:cs="Arial"/>
          <w:i/>
          <w:sz w:val="21"/>
          <w:szCs w:val="21"/>
        </w:rPr>
        <w:t>2-Needs additional information</w:t>
      </w:r>
      <w:r w:rsidRPr="00BC03B3">
        <w:rPr>
          <w:rFonts w:ascii="Garamond" w:hAnsi="Garamond" w:cs="Arial"/>
          <w:sz w:val="21"/>
          <w:szCs w:val="21"/>
        </w:rPr>
        <w:t xml:space="preserve"> to meet assessment expectations (i.e.; section missing)</w:t>
      </w:r>
    </w:p>
    <w:p w14:paraId="771A679E" w14:textId="77777777" w:rsidR="00E36DB8" w:rsidRPr="00BC03B3" w:rsidRDefault="00E36DB8" w:rsidP="00E36DB8">
      <w:pPr>
        <w:ind w:left="1440"/>
        <w:rPr>
          <w:rFonts w:ascii="Garamond" w:hAnsi="Garamond" w:cs="Arial"/>
          <w:sz w:val="21"/>
          <w:szCs w:val="21"/>
        </w:rPr>
      </w:pPr>
      <w:r w:rsidRPr="00BC03B3">
        <w:rPr>
          <w:rFonts w:ascii="Garamond" w:hAnsi="Garamond" w:cs="Arial"/>
          <w:i/>
          <w:sz w:val="21"/>
          <w:szCs w:val="21"/>
        </w:rPr>
        <w:t>1-Assessment needs major rework</w:t>
      </w:r>
      <w:r w:rsidRPr="00BC03B3">
        <w:rPr>
          <w:rFonts w:ascii="Garamond" w:hAnsi="Garamond" w:cs="Arial"/>
          <w:sz w:val="21"/>
          <w:szCs w:val="21"/>
        </w:rPr>
        <w:t xml:space="preserve"> (i.e.; missing important information throughout or minimal information provided)</w:t>
      </w:r>
    </w:p>
    <w:p w14:paraId="4B061740" w14:textId="77777777" w:rsidR="00E36DB8" w:rsidRPr="00BC03B3" w:rsidRDefault="00E36DB8" w:rsidP="00E36DB8">
      <w:pPr>
        <w:ind w:left="1440"/>
        <w:rPr>
          <w:rFonts w:ascii="Garamond" w:hAnsi="Garamond" w:cs="Arial"/>
          <w:sz w:val="21"/>
          <w:szCs w:val="21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508"/>
        <w:gridCol w:w="1368"/>
        <w:gridCol w:w="6079"/>
        <w:gridCol w:w="1440"/>
      </w:tblGrid>
      <w:tr w:rsidR="00E36DB8" w:rsidRPr="00BC03B3" w14:paraId="145B4F6A" w14:textId="77777777" w:rsidTr="000B6054">
        <w:tc>
          <w:tcPr>
            <w:tcW w:w="5508" w:type="dxa"/>
            <w:shd w:val="clear" w:color="auto" w:fill="000000" w:themeFill="text1"/>
            <w:vAlign w:val="center"/>
          </w:tcPr>
          <w:p w14:paraId="43B6E005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475F3">
              <w:rPr>
                <w:rFonts w:ascii="Garamond" w:hAnsi="Garamond" w:cs="Arial"/>
                <w:b/>
                <w:sz w:val="28"/>
                <w:szCs w:val="28"/>
              </w:rPr>
              <w:t>Standards Grading Criteria</w:t>
            </w:r>
          </w:p>
        </w:tc>
        <w:tc>
          <w:tcPr>
            <w:tcW w:w="1368" w:type="dxa"/>
            <w:shd w:val="clear" w:color="auto" w:fill="000000" w:themeFill="text1"/>
            <w:vAlign w:val="center"/>
          </w:tcPr>
          <w:p w14:paraId="59BCFDA0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475F3">
              <w:rPr>
                <w:rFonts w:ascii="Garamond" w:hAnsi="Garamond" w:cs="Arial"/>
                <w:b/>
                <w:sz w:val="28"/>
                <w:szCs w:val="28"/>
              </w:rPr>
              <w:t>Your self-evaluated score 1-4</w:t>
            </w:r>
          </w:p>
        </w:tc>
        <w:tc>
          <w:tcPr>
            <w:tcW w:w="6079" w:type="dxa"/>
            <w:shd w:val="clear" w:color="auto" w:fill="000000" w:themeFill="text1"/>
            <w:vAlign w:val="center"/>
          </w:tcPr>
          <w:p w14:paraId="425ACCD9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b/>
                <w:sz w:val="28"/>
                <w:szCs w:val="28"/>
                <w:u w:val="single"/>
              </w:rPr>
            </w:pPr>
            <w:r w:rsidRPr="00B475F3">
              <w:rPr>
                <w:rFonts w:ascii="Garamond" w:hAnsi="Garamond" w:cs="Arial"/>
                <w:b/>
                <w:sz w:val="28"/>
                <w:szCs w:val="28"/>
                <w:u w:val="single"/>
              </w:rPr>
              <w:t>Written Justification of Score:</w:t>
            </w:r>
          </w:p>
          <w:p w14:paraId="307185FD" w14:textId="6B89AA59" w:rsidR="00E36DB8" w:rsidRPr="00B475F3" w:rsidRDefault="00E36DB8" w:rsidP="009332D4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475F3">
              <w:rPr>
                <w:rFonts w:ascii="Garamond" w:hAnsi="Garamond" w:cs="Arial"/>
                <w:b/>
                <w:sz w:val="28"/>
                <w:szCs w:val="28"/>
              </w:rPr>
              <w:t xml:space="preserve">You must tell me how you attained this standard in your </w:t>
            </w:r>
            <w:r w:rsidR="009332D4">
              <w:rPr>
                <w:rFonts w:ascii="Garamond" w:hAnsi="Garamond" w:cs="Arial"/>
                <w:b/>
                <w:sz w:val="28"/>
                <w:szCs w:val="28"/>
              </w:rPr>
              <w:t>discussion board postings</w:t>
            </w:r>
            <w:r w:rsidRPr="00B475F3">
              <w:rPr>
                <w:rFonts w:ascii="Garamond" w:hAnsi="Garamond" w:cs="Arial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0E2DF6A2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475F3">
              <w:rPr>
                <w:rFonts w:ascii="Garamond" w:hAnsi="Garamond" w:cs="Arial"/>
                <w:b/>
                <w:sz w:val="28"/>
                <w:szCs w:val="28"/>
              </w:rPr>
              <w:t>Final Score</w:t>
            </w:r>
          </w:p>
        </w:tc>
      </w:tr>
      <w:tr w:rsidR="000B6054" w:rsidRPr="00BC03B3" w14:paraId="7D819624" w14:textId="77777777" w:rsidTr="000B6054">
        <w:tc>
          <w:tcPr>
            <w:tcW w:w="5508" w:type="dxa"/>
          </w:tcPr>
          <w:p w14:paraId="61CB206A" w14:textId="46120C49" w:rsidR="009F0C9D" w:rsidRPr="00B475F3" w:rsidRDefault="009F0C9D" w:rsidP="009F0C9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475F3">
              <w:rPr>
                <w:rFonts w:ascii="Garamond" w:hAnsi="Garamond"/>
                <w:b/>
                <w:sz w:val="24"/>
                <w:szCs w:val="24"/>
              </w:rPr>
              <w:t>Standard I: Content Knowledge Element C</w:t>
            </w:r>
            <w:r w:rsidR="00B475F3" w:rsidRPr="00B475F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14:paraId="09B3B1D7" w14:textId="38FDAD23" w:rsidR="00E36DB8" w:rsidRPr="00B475F3" w:rsidRDefault="009F0C9D" w:rsidP="00456DC6">
            <w:pPr>
              <w:rPr>
                <w:rFonts w:ascii="Garamond" w:hAnsi="Garamond" w:cs="Arial"/>
                <w:sz w:val="24"/>
                <w:szCs w:val="24"/>
              </w:rPr>
            </w:pPr>
            <w:r w:rsidRPr="00B475F3">
              <w:rPr>
                <w:rFonts w:ascii="Garamond" w:hAnsi="Garamond"/>
                <w:sz w:val="24"/>
                <w:szCs w:val="24"/>
              </w:rPr>
              <w:t xml:space="preserve">Candidates demonstrate the knowledge and skills of a health literate educator. </w:t>
            </w:r>
            <w:r w:rsidRPr="00B475F3">
              <w:rPr>
                <w:rFonts w:ascii="Garamond" w:hAnsi="Garamond"/>
                <w:i/>
                <w:sz w:val="24"/>
                <w:szCs w:val="24"/>
                <w:u w:val="single"/>
              </w:rPr>
              <w:t>Describe practices that promote health or safety</w:t>
            </w:r>
            <w:r w:rsidR="00B475F3" w:rsidRPr="00B475F3">
              <w:rPr>
                <w:rFonts w:ascii="Garamond" w:hAnsi="Garamond"/>
                <w:i/>
                <w:sz w:val="24"/>
                <w:szCs w:val="24"/>
                <w:u w:val="single"/>
              </w:rPr>
              <w:t xml:space="preserve"> in discussion board postings</w:t>
            </w:r>
            <w:r w:rsidR="00456DC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6DC6" w:rsidRPr="00456DC6">
              <w:rPr>
                <w:rFonts w:ascii="Garamond" w:hAnsi="Garamond"/>
                <w:i/>
                <w:sz w:val="24"/>
                <w:szCs w:val="24"/>
                <w:u w:val="single"/>
              </w:rPr>
              <w:t>and respond to at least three other members’ posts.</w:t>
            </w:r>
            <w:r w:rsidR="00456DC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4DBA4D1C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14:paraId="7F2D1A5D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5950E8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B6054" w:rsidRPr="00BC03B3" w14:paraId="170EDEF9" w14:textId="77777777" w:rsidTr="000B6054">
        <w:tc>
          <w:tcPr>
            <w:tcW w:w="5508" w:type="dxa"/>
          </w:tcPr>
          <w:p w14:paraId="6BF9CE71" w14:textId="77777777" w:rsidR="009F0C9D" w:rsidRPr="00B475F3" w:rsidRDefault="009F0C9D" w:rsidP="009F0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475F3">
              <w:rPr>
                <w:rFonts w:ascii="Garamond" w:hAnsi="Garamond" w:cs="Arial"/>
                <w:b/>
                <w:sz w:val="24"/>
                <w:szCs w:val="24"/>
              </w:rPr>
              <w:t>Standard IV Implementation Element D:</w:t>
            </w:r>
          </w:p>
          <w:p w14:paraId="4A4FD796" w14:textId="1A07161E" w:rsidR="00E36DB8" w:rsidRPr="00B475F3" w:rsidRDefault="009F0C9D" w:rsidP="009F0C9D">
            <w:pPr>
              <w:rPr>
                <w:rFonts w:ascii="Garamond" w:hAnsi="Garamond" w:cs="Arial"/>
                <w:sz w:val="24"/>
                <w:szCs w:val="24"/>
              </w:rPr>
            </w:pPr>
            <w:r w:rsidRPr="00B475F3">
              <w:rPr>
                <w:rFonts w:ascii="Garamond" w:hAnsi="Garamond" w:cs="Arial"/>
                <w:sz w:val="24"/>
                <w:szCs w:val="24"/>
              </w:rPr>
              <w:t xml:space="preserve">Reflection of Implementation practices. Evidenced by your </w:t>
            </w:r>
            <w:r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discussion board postings on your learnings, strengths, struggles and areas for growth</w:t>
            </w:r>
            <w:r w:rsidRPr="00B475F3">
              <w:rPr>
                <w:rFonts w:ascii="Garamond" w:hAnsi="Garamond" w:cs="Arial"/>
                <w:sz w:val="24"/>
                <w:szCs w:val="24"/>
              </w:rPr>
              <w:t>. Identifying any barriers to implementation and how to overcome these barriers.</w:t>
            </w:r>
          </w:p>
        </w:tc>
        <w:tc>
          <w:tcPr>
            <w:tcW w:w="1368" w:type="dxa"/>
            <w:vAlign w:val="center"/>
          </w:tcPr>
          <w:p w14:paraId="740E8090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14:paraId="6B6703CE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A09DA76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B6054" w:rsidRPr="00BC03B3" w14:paraId="533A9EAD" w14:textId="77777777" w:rsidTr="000B6054">
        <w:tc>
          <w:tcPr>
            <w:tcW w:w="5508" w:type="dxa"/>
          </w:tcPr>
          <w:p w14:paraId="2367F912" w14:textId="370635DD" w:rsidR="00E36DB8" w:rsidRPr="00B475F3" w:rsidRDefault="009F0C9D" w:rsidP="009F0C9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475F3">
              <w:rPr>
                <w:rFonts w:ascii="Garamond" w:hAnsi="Garamond" w:cs="Arial"/>
                <w:b/>
                <w:sz w:val="24"/>
                <w:szCs w:val="24"/>
              </w:rPr>
              <w:t>Standard VI Administration and Coordination Element B:</w:t>
            </w:r>
            <w:r w:rsidR="00B475F3">
              <w:rPr>
                <w:rFonts w:ascii="Garamond" w:hAnsi="Garamond" w:cs="Arial"/>
                <w:b/>
                <w:sz w:val="24"/>
                <w:szCs w:val="24"/>
              </w:rPr>
              <w:t xml:space="preserve">  </w:t>
            </w:r>
            <w:r w:rsidRPr="00B475F3">
              <w:rPr>
                <w:rFonts w:ascii="Garamond" w:hAnsi="Garamond" w:cs="Arial"/>
                <w:sz w:val="24"/>
                <w:szCs w:val="24"/>
              </w:rPr>
              <w:t>Explain how health education fits the culture of schools</w:t>
            </w:r>
            <w:r w:rsidR="00B475F3">
              <w:rPr>
                <w:rFonts w:ascii="Garamond" w:hAnsi="Garamond" w:cs="Arial"/>
                <w:sz w:val="24"/>
                <w:szCs w:val="24"/>
              </w:rPr>
              <w:t>, communities, etc</w:t>
            </w:r>
            <w:r w:rsidRPr="00B475F3">
              <w:rPr>
                <w:rFonts w:ascii="Garamond" w:hAnsi="Garamond" w:cs="Arial"/>
                <w:sz w:val="24"/>
                <w:szCs w:val="24"/>
              </w:rPr>
              <w:t>.</w:t>
            </w:r>
            <w:r w:rsidR="00B475F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B475F3"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Discussion Board response can be directly linked to the question/topic</w:t>
            </w:r>
            <w:r w:rsidR="009D785A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.  Warm and cool feedback is used to respond effectively to </w:t>
            </w:r>
            <w:proofErr w:type="gramStart"/>
            <w:r w:rsidR="009D785A">
              <w:rPr>
                <w:rFonts w:ascii="Garamond" w:hAnsi="Garamond" w:cs="Arial"/>
                <w:i/>
                <w:sz w:val="24"/>
                <w:szCs w:val="24"/>
                <w:u w:val="single"/>
              </w:rPr>
              <w:t>peers</w:t>
            </w:r>
            <w:proofErr w:type="gramEnd"/>
            <w:r w:rsidR="009D785A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 postings</w:t>
            </w:r>
            <w:r w:rsidR="00B475F3"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368" w:type="dxa"/>
            <w:vAlign w:val="center"/>
          </w:tcPr>
          <w:p w14:paraId="66CAEB46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14:paraId="11B0BE10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478394A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B6054" w:rsidRPr="00BC03B3" w14:paraId="46B1F8CB" w14:textId="77777777" w:rsidTr="000B6054">
        <w:tc>
          <w:tcPr>
            <w:tcW w:w="5508" w:type="dxa"/>
          </w:tcPr>
          <w:p w14:paraId="43407E79" w14:textId="1E05E74F" w:rsidR="00E36DB8" w:rsidRPr="00B475F3" w:rsidRDefault="009F0C9D" w:rsidP="005314F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475F3">
              <w:rPr>
                <w:rFonts w:ascii="Garamond" w:hAnsi="Garamond" w:cs="Arial"/>
                <w:b/>
                <w:sz w:val="24"/>
                <w:szCs w:val="24"/>
              </w:rPr>
              <w:t>Standard VII Being a Resource - Element A</w:t>
            </w:r>
          </w:p>
          <w:p w14:paraId="3F665E68" w14:textId="0C09AE19" w:rsidR="009F0C9D" w:rsidRPr="00B475F3" w:rsidRDefault="009F0C9D" w:rsidP="005314F5">
            <w:pPr>
              <w:rPr>
                <w:rFonts w:ascii="Garamond" w:hAnsi="Garamond" w:cs="Arial"/>
                <w:sz w:val="24"/>
                <w:szCs w:val="24"/>
              </w:rPr>
            </w:pPr>
            <w:r w:rsidRPr="00B475F3">
              <w:rPr>
                <w:rFonts w:ascii="Garamond" w:hAnsi="Garamond" w:cs="Arial"/>
                <w:sz w:val="24"/>
                <w:szCs w:val="24"/>
              </w:rPr>
              <w:t>Candidates use</w:t>
            </w:r>
            <w:r w:rsidR="008614CB">
              <w:rPr>
                <w:rFonts w:ascii="Garamond" w:hAnsi="Garamond" w:cs="Arial"/>
                <w:sz w:val="24"/>
                <w:szCs w:val="24"/>
              </w:rPr>
              <w:t xml:space="preserve"> and cite</w:t>
            </w:r>
            <w:r w:rsidRPr="00B475F3">
              <w:rPr>
                <w:rFonts w:ascii="Garamond" w:hAnsi="Garamond" w:cs="Arial"/>
                <w:sz w:val="24"/>
                <w:szCs w:val="24"/>
              </w:rPr>
              <w:t xml:space="preserve"> health information resources to </w:t>
            </w:r>
            <w:r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support their claims on </w:t>
            </w:r>
            <w:r w:rsidR="00B475F3"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discussion board </w:t>
            </w:r>
            <w:r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postings</w:t>
            </w:r>
            <w:r w:rsidR="00B475F3" w:rsidRPr="00B475F3">
              <w:rPr>
                <w:rFonts w:ascii="Garamond" w:hAnsi="Garamond" w:cs="Arial"/>
                <w:sz w:val="24"/>
                <w:szCs w:val="24"/>
              </w:rPr>
              <w:t xml:space="preserve"> and in their response to </w:t>
            </w:r>
            <w:r w:rsidR="00B475F3">
              <w:rPr>
                <w:rFonts w:ascii="Garamond" w:hAnsi="Garamond" w:cs="Arial"/>
                <w:sz w:val="24"/>
                <w:szCs w:val="24"/>
              </w:rPr>
              <w:t xml:space="preserve">discussion board </w:t>
            </w:r>
            <w:r w:rsidR="00B475F3" w:rsidRPr="00B475F3">
              <w:rPr>
                <w:rFonts w:ascii="Garamond" w:hAnsi="Garamond" w:cs="Arial"/>
                <w:sz w:val="24"/>
                <w:szCs w:val="24"/>
              </w:rPr>
              <w:t>postings</w:t>
            </w:r>
            <w:r w:rsidR="00B475F3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368" w:type="dxa"/>
            <w:vAlign w:val="center"/>
          </w:tcPr>
          <w:p w14:paraId="55408D27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14:paraId="2873F50D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38CAC13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B6054" w:rsidRPr="00BC03B3" w14:paraId="5F8D89BD" w14:textId="77777777" w:rsidTr="000B6054">
        <w:tc>
          <w:tcPr>
            <w:tcW w:w="5508" w:type="dxa"/>
          </w:tcPr>
          <w:p w14:paraId="53F5B4C6" w14:textId="7B96C6EA" w:rsidR="00E36DB8" w:rsidRPr="00B475F3" w:rsidRDefault="00E36DB8" w:rsidP="005314F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B475F3">
              <w:rPr>
                <w:rFonts w:ascii="Garamond" w:hAnsi="Garamond" w:cs="Arial"/>
                <w:b/>
                <w:sz w:val="24"/>
                <w:szCs w:val="24"/>
              </w:rPr>
              <w:t xml:space="preserve">Standard VIII </w:t>
            </w:r>
            <w:r w:rsidR="009F0C9D" w:rsidRPr="00B475F3">
              <w:rPr>
                <w:rFonts w:ascii="Garamond" w:hAnsi="Garamond" w:cs="Arial"/>
                <w:b/>
                <w:sz w:val="24"/>
                <w:szCs w:val="24"/>
              </w:rPr>
              <w:t xml:space="preserve">Communication and Advocacy </w:t>
            </w:r>
            <w:r w:rsidR="00445C1F" w:rsidRPr="00B475F3">
              <w:rPr>
                <w:rFonts w:ascii="Garamond" w:hAnsi="Garamond" w:cs="Arial"/>
                <w:b/>
                <w:sz w:val="24"/>
                <w:szCs w:val="24"/>
              </w:rPr>
              <w:t>Element B and D:</w:t>
            </w:r>
            <w:r w:rsidR="00B475F3" w:rsidRPr="00B475F3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B475F3">
              <w:rPr>
                <w:rFonts w:ascii="Garamond" w:hAnsi="Garamond" w:cs="Arial"/>
                <w:sz w:val="24"/>
                <w:szCs w:val="24"/>
              </w:rPr>
              <w:t xml:space="preserve">Demonstrates a variety of communication methods.  </w:t>
            </w:r>
            <w:r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This includes professional writing (grammar, spelling, writing in the third person)</w:t>
            </w:r>
            <w:r w:rsidR="009F0C9D"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 and</w:t>
            </w:r>
            <w:r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 xml:space="preserve"> clear communication</w:t>
            </w:r>
            <w:r w:rsidR="009F0C9D" w:rsidRPr="00B475F3">
              <w:rPr>
                <w:rFonts w:ascii="Garamond" w:hAnsi="Garamond" w:cs="Arial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368" w:type="dxa"/>
            <w:vAlign w:val="center"/>
          </w:tcPr>
          <w:p w14:paraId="14250352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79" w:type="dxa"/>
            <w:vAlign w:val="center"/>
          </w:tcPr>
          <w:p w14:paraId="6AFD3023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2C9645" w14:textId="77777777" w:rsidR="00E36DB8" w:rsidRPr="00B475F3" w:rsidRDefault="00E36DB8" w:rsidP="005314F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36DB8" w:rsidRPr="00BC03B3" w14:paraId="6387A030" w14:textId="77777777" w:rsidTr="000B6054">
        <w:tc>
          <w:tcPr>
            <w:tcW w:w="5508" w:type="dxa"/>
          </w:tcPr>
          <w:p w14:paraId="3C0906AE" w14:textId="77777777" w:rsidR="00B475F3" w:rsidRDefault="00B475F3" w:rsidP="005314F5">
            <w:pPr>
              <w:rPr>
                <w:rFonts w:ascii="Garamond" w:hAnsi="Garamond" w:cs="Arial"/>
                <w:b/>
                <w:sz w:val="21"/>
                <w:szCs w:val="21"/>
              </w:rPr>
            </w:pPr>
          </w:p>
          <w:p w14:paraId="0665ED94" w14:textId="77777777" w:rsidR="00E36DB8" w:rsidRDefault="00E36DB8" w:rsidP="005314F5">
            <w:pPr>
              <w:rPr>
                <w:rFonts w:ascii="Garamond" w:hAnsi="Garamond" w:cs="Arial"/>
                <w:b/>
                <w:sz w:val="21"/>
                <w:szCs w:val="21"/>
              </w:rPr>
            </w:pPr>
            <w:r w:rsidRPr="00BC03B3">
              <w:rPr>
                <w:rFonts w:ascii="Garamond" w:hAnsi="Garamond" w:cs="Arial"/>
                <w:b/>
                <w:sz w:val="21"/>
                <w:szCs w:val="21"/>
              </w:rPr>
              <w:t>Final Score</w:t>
            </w:r>
          </w:p>
          <w:p w14:paraId="53EA0C19" w14:textId="41521E6C" w:rsidR="00B475F3" w:rsidRPr="00BC03B3" w:rsidRDefault="00B475F3" w:rsidP="005314F5">
            <w:pPr>
              <w:rPr>
                <w:rFonts w:ascii="Garamond" w:hAnsi="Garamond" w:cs="Arial"/>
                <w:b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54DEFF43" w14:textId="77777777" w:rsidR="00E36DB8" w:rsidRPr="00BC03B3" w:rsidRDefault="00E36DB8" w:rsidP="005314F5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BC03B3">
              <w:rPr>
                <w:rFonts w:ascii="Garamond" w:hAnsi="Garamond" w:cs="Arial"/>
                <w:sz w:val="21"/>
                <w:szCs w:val="21"/>
              </w:rPr>
              <w:t>_____/20</w:t>
            </w:r>
          </w:p>
        </w:tc>
        <w:tc>
          <w:tcPr>
            <w:tcW w:w="6079" w:type="dxa"/>
            <w:vAlign w:val="center"/>
          </w:tcPr>
          <w:p w14:paraId="09F38190" w14:textId="77777777" w:rsidR="00E36DB8" w:rsidRPr="00BC03B3" w:rsidRDefault="00E36DB8" w:rsidP="005314F5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DBE2B15" w14:textId="77777777" w:rsidR="00E36DB8" w:rsidRPr="00BC03B3" w:rsidRDefault="00E36DB8" w:rsidP="005314F5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BC03B3">
              <w:rPr>
                <w:rFonts w:ascii="Garamond" w:hAnsi="Garamond" w:cs="Arial"/>
                <w:sz w:val="21"/>
                <w:szCs w:val="21"/>
              </w:rPr>
              <w:t>_____/20</w:t>
            </w:r>
          </w:p>
        </w:tc>
      </w:tr>
    </w:tbl>
    <w:p w14:paraId="6D19AE14" w14:textId="23BEAA4B" w:rsidR="00214DA9" w:rsidRDefault="00214DA9"/>
    <w:p w14:paraId="1CD7ACE6" w14:textId="77777777" w:rsidR="00654268" w:rsidRDefault="00654268">
      <w:r>
        <w:br w:type="page"/>
      </w:r>
    </w:p>
    <w:tbl>
      <w:tblPr>
        <w:tblW w:w="43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430"/>
      </w:tblGrid>
      <w:tr w:rsidR="00214DA9" w:rsidRPr="008E4F39" w14:paraId="00A47C5F" w14:textId="77777777" w:rsidTr="00613ED3">
        <w:trPr>
          <w:jc w:val="center"/>
        </w:trPr>
        <w:tc>
          <w:tcPr>
            <w:tcW w:w="18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2B4E4DC4" w14:textId="13A43025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Pr="008E4F39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</w:rPr>
              <w:t>Rubric Score</w:t>
            </w:r>
            <w:r w:rsidRPr="008E4F39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6" w:space="0" w:color="5B9BD5"/>
              <w:left w:val="outset" w:sz="6" w:space="0" w:color="auto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760A351C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E4F39"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</w:rPr>
              <w:t>Percentage Score:</w:t>
            </w:r>
            <w:r w:rsidRPr="008E4F39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654268" w:rsidRPr="008E4F39" w14:paraId="22723D3E" w14:textId="77777777" w:rsidTr="00613ED3">
        <w:trPr>
          <w:jc w:val="center"/>
        </w:trPr>
        <w:tc>
          <w:tcPr>
            <w:tcW w:w="18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</w:tcPr>
          <w:p w14:paraId="2D4828E5" w14:textId="77777777" w:rsidR="00654268" w:rsidRDefault="00654268" w:rsidP="00613ED3">
            <w:pPr>
              <w:spacing w:beforeAutospacing="1" w:afterAutospacing="1"/>
              <w:jc w:val="center"/>
              <w:textAlignment w:val="baseline"/>
            </w:pPr>
          </w:p>
        </w:tc>
        <w:tc>
          <w:tcPr>
            <w:tcW w:w="2430" w:type="dxa"/>
            <w:tcBorders>
              <w:top w:val="single" w:sz="6" w:space="0" w:color="5B9BD5"/>
              <w:left w:val="outset" w:sz="6" w:space="0" w:color="auto"/>
              <w:bottom w:val="single" w:sz="6" w:space="0" w:color="5B9BD5"/>
              <w:right w:val="single" w:sz="6" w:space="0" w:color="5B9BD5"/>
            </w:tcBorders>
            <w:shd w:val="clear" w:color="auto" w:fill="5B9BD5"/>
          </w:tcPr>
          <w:p w14:paraId="44559642" w14:textId="77777777" w:rsidR="00654268" w:rsidRPr="008E4F39" w:rsidRDefault="00654268" w:rsidP="00613ED3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FFFFFF"/>
                <w:sz w:val="24"/>
                <w:szCs w:val="24"/>
                <w:u w:val="single"/>
              </w:rPr>
            </w:pPr>
          </w:p>
        </w:tc>
      </w:tr>
      <w:tr w:rsidR="00214DA9" w:rsidRPr="008E4F39" w14:paraId="65B28A29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4143EC1A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65C5860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60%</w:t>
            </w:r>
          </w:p>
        </w:tc>
      </w:tr>
      <w:tr w:rsidR="00214DA9" w:rsidRPr="008E4F39" w14:paraId="3D3C9116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0D6B30C6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643AC24B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62%</w:t>
            </w:r>
          </w:p>
        </w:tc>
      </w:tr>
      <w:tr w:rsidR="00214DA9" w:rsidRPr="008E4F39" w14:paraId="76D74107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5796CAAA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4EE9B526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64%</w:t>
            </w:r>
          </w:p>
        </w:tc>
      </w:tr>
      <w:tr w:rsidR="00214DA9" w:rsidRPr="008E4F39" w14:paraId="450FF344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3AE69BA9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3BEE6E73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66%</w:t>
            </w:r>
          </w:p>
        </w:tc>
      </w:tr>
      <w:tr w:rsidR="00214DA9" w:rsidRPr="008E4F39" w14:paraId="03E913CA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0FF4481B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297EE377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68%</w:t>
            </w:r>
          </w:p>
        </w:tc>
      </w:tr>
      <w:tr w:rsidR="00214DA9" w:rsidRPr="008E4F39" w14:paraId="2392987B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1FA8F1C5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2F4FCDB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214DA9" w:rsidRPr="008E4F39" w14:paraId="4C193A51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49F05B5C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24EDA68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72%</w:t>
            </w:r>
          </w:p>
        </w:tc>
      </w:tr>
      <w:tr w:rsidR="00214DA9" w:rsidRPr="008E4F39" w14:paraId="0A57B78B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7EDF09A4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4D81DF13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74%</w:t>
            </w:r>
          </w:p>
        </w:tc>
      </w:tr>
      <w:tr w:rsidR="00214DA9" w:rsidRPr="008E4F39" w14:paraId="12A1BD2E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62290897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5B3B726E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76%</w:t>
            </w:r>
          </w:p>
        </w:tc>
      </w:tr>
      <w:tr w:rsidR="00214DA9" w:rsidRPr="008E4F39" w14:paraId="4FB62B82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61E351AB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68C103A8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78%</w:t>
            </w:r>
          </w:p>
        </w:tc>
      </w:tr>
      <w:tr w:rsidR="00214DA9" w:rsidRPr="008E4F39" w14:paraId="17200DDD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1AAFEE26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6A4FEC1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214DA9" w:rsidRPr="008E4F39" w14:paraId="267CBF23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43C087EA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4C2AF16D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82%</w:t>
            </w:r>
          </w:p>
        </w:tc>
      </w:tr>
      <w:tr w:rsidR="00214DA9" w:rsidRPr="008E4F39" w14:paraId="10DFB117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1ABD61B5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6E5A14DF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84%</w:t>
            </w:r>
          </w:p>
        </w:tc>
      </w:tr>
      <w:tr w:rsidR="00214DA9" w:rsidRPr="008E4F39" w14:paraId="3C3774E5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70997F6B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4BBA1153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86%</w:t>
            </w:r>
          </w:p>
        </w:tc>
      </w:tr>
      <w:tr w:rsidR="00214DA9" w:rsidRPr="008E4F39" w14:paraId="773A38E1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368C4391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3E08EB5E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88%</w:t>
            </w:r>
          </w:p>
        </w:tc>
      </w:tr>
      <w:tr w:rsidR="00214DA9" w:rsidRPr="008E4F39" w14:paraId="619FE298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0FA517BD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4B8C54D9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90%</w:t>
            </w:r>
          </w:p>
        </w:tc>
      </w:tr>
      <w:tr w:rsidR="00214DA9" w:rsidRPr="008E4F39" w14:paraId="07DAB8C3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4DC4D249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12C41808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92%</w:t>
            </w:r>
          </w:p>
        </w:tc>
      </w:tr>
      <w:tr w:rsidR="00214DA9" w:rsidRPr="008E4F39" w14:paraId="74E32AF6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6CEEB9C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1D58DB56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94%</w:t>
            </w:r>
          </w:p>
        </w:tc>
      </w:tr>
      <w:tr w:rsidR="00214DA9" w:rsidRPr="008E4F39" w14:paraId="319AA664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49F40C76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DEEAF6"/>
            <w:vAlign w:val="center"/>
            <w:hideMark/>
          </w:tcPr>
          <w:p w14:paraId="328EF6B1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96%</w:t>
            </w:r>
          </w:p>
        </w:tc>
      </w:tr>
      <w:tr w:rsidR="00214DA9" w:rsidRPr="008E4F39" w14:paraId="04EBC208" w14:textId="77777777" w:rsidTr="00613ED3">
        <w:trPr>
          <w:jc w:val="center"/>
        </w:trPr>
        <w:tc>
          <w:tcPr>
            <w:tcW w:w="1890" w:type="dxa"/>
            <w:tcBorders>
              <w:top w:val="outset" w:sz="6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14EE05C0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single" w:sz="6" w:space="0" w:color="9CC2E5"/>
              <w:right w:val="single" w:sz="6" w:space="0" w:color="9CC2E5"/>
            </w:tcBorders>
            <w:shd w:val="clear" w:color="auto" w:fill="auto"/>
            <w:vAlign w:val="center"/>
            <w:hideMark/>
          </w:tcPr>
          <w:p w14:paraId="0A5F4BCE" w14:textId="77777777" w:rsidR="00214DA9" w:rsidRPr="008E4F39" w:rsidRDefault="00214DA9" w:rsidP="00613ED3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F39">
              <w:rPr>
                <w:rFonts w:eastAsia="Times New Roman"/>
                <w:sz w:val="24"/>
                <w:szCs w:val="24"/>
              </w:rPr>
              <w:t>98%-100%</w:t>
            </w:r>
          </w:p>
        </w:tc>
      </w:tr>
    </w:tbl>
    <w:p w14:paraId="58111E27" w14:textId="6B0F6D25" w:rsidR="00710DE5" w:rsidRDefault="00710DE5"/>
    <w:p w14:paraId="49DB2325" w14:textId="5A676196" w:rsidR="0077777B" w:rsidRDefault="0077777B">
      <w:r>
        <w:t xml:space="preserve">In </w:t>
      </w:r>
      <w:r w:rsidR="004B1520">
        <w:t>standards-based</w:t>
      </w:r>
      <w:r>
        <w:t xml:space="preserve"> grading, the rubric score is converted over to a percentage out of 100.  Please see the </w:t>
      </w:r>
      <w:r w:rsidR="004B1520">
        <w:t>spreadsheet above to identify your total score for this assignment.</w:t>
      </w:r>
    </w:p>
    <w:sectPr w:rsidR="0077777B" w:rsidSect="00E36D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F4E38"/>
    <w:multiLevelType w:val="hybridMultilevel"/>
    <w:tmpl w:val="564C2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B8"/>
    <w:rsid w:val="00093593"/>
    <w:rsid w:val="000B6054"/>
    <w:rsid w:val="001057B1"/>
    <w:rsid w:val="001F6370"/>
    <w:rsid w:val="00214DA9"/>
    <w:rsid w:val="002549FC"/>
    <w:rsid w:val="00296529"/>
    <w:rsid w:val="00445C1F"/>
    <w:rsid w:val="00456DC6"/>
    <w:rsid w:val="004907A3"/>
    <w:rsid w:val="004B1520"/>
    <w:rsid w:val="004C43FC"/>
    <w:rsid w:val="00654268"/>
    <w:rsid w:val="00694302"/>
    <w:rsid w:val="00710DE5"/>
    <w:rsid w:val="0077777B"/>
    <w:rsid w:val="007B6C4A"/>
    <w:rsid w:val="008614CB"/>
    <w:rsid w:val="009057D3"/>
    <w:rsid w:val="009332D4"/>
    <w:rsid w:val="009D785A"/>
    <w:rsid w:val="009F0C9D"/>
    <w:rsid w:val="00A37AAD"/>
    <w:rsid w:val="00B475F3"/>
    <w:rsid w:val="00CA6A02"/>
    <w:rsid w:val="00E36DB8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8FE5"/>
  <w15:chartTrackingRefBased/>
  <w15:docId w15:val="{1EC82901-3027-4A97-97C9-F5FF2A5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D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C9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Dipzinski</dc:creator>
  <cp:keywords/>
  <dc:description/>
  <cp:lastModifiedBy>Aimee Denoyelles</cp:lastModifiedBy>
  <cp:revision>2</cp:revision>
  <dcterms:created xsi:type="dcterms:W3CDTF">2019-09-27T20:14:00Z</dcterms:created>
  <dcterms:modified xsi:type="dcterms:W3CDTF">2019-09-27T20:14:00Z</dcterms:modified>
</cp:coreProperties>
</file>